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a90ea5952d54e9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April 13, 2004</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6:00 p.m.</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School Board Room</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4204 Okeechobee Road, Fort Pierce, FL 34947</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A G E N D A</w:t>
      </w:r>
    </w:p>
    <w:p>
      <w:pPr>
        <w:rPr>
          <w:sz w:val="22"/>
          <w:szCs w:val="22"/>
          <w:rFonts w:ascii="Lydian" w:hAnsi="Lydian"/>
          <w:vertAlign w:val="baseline"/>
          <w:b w:val="false"/>
          <w:i w:val="true"/>
          <w:u w:val="none"/>
          <w:strike w:val="false"/>
          <w:shadow w:val="false"/>
          <w:emboss w:val="false"/>
          <w:imprint w:val="false"/>
        </w:rPr>
        <w:jc w:val="center"/>
        <w:ind w:left="180" w:hanging="180"/>
        <w:spacing w:after="0" w:line="240" w:lineRule="auto"/>
        <w:keepNext/>
        <w:keepLines/>
      </w:pPr>
      <w:r>
        <w:rPr>
          <w:sz w:val="22"/>
          <w:szCs w:val="22"/>
          <w:rFonts w:ascii="Lydian" w:hAnsi="Lydian"/>
          <w:vertAlign w:val="baseline"/>
          <w:b w:val="false"/>
          <w:i w:val="true"/>
          <w:u w:val="none"/>
          <w:strike w:val="false"/>
          <w:shadow w:val="false"/>
          <w:emboss w:val="false"/>
          <w:imprint w:val="false"/>
        </w:rPr>
        <w:t xml:space="preserve">Opening Activities</w:t>
      </w:r>
    </w:p>
    <w:p>
      <w:pPr>
        <w:rPr>
          <w:sz w:val="16"/>
          <w:szCs w:val="16"/>
          <w:rFonts w:ascii="Comic Sans MS" w:hAnsi="Comic Sans MS"/>
          <w:vertAlign w:val="baseline"/>
          <w:b w:val="false"/>
          <w:i w:val="false"/>
          <w:u w:val="none"/>
          <w:strike w:val="false"/>
          <w:shadow w:val="false"/>
          <w:emboss w:val="false"/>
          <w:imprint w:val="false"/>
        </w:rPr>
        <w:jc w:val="center"/>
        <w:ind w:left="180" w:hanging="180"/>
        <w:spacing w:after="0" w:line="240" w:lineRule="auto"/>
        <w:keepNext/>
        <w:keepLines/>
      </w:pPr>
      <w:r>
        <w:rPr>
          <w:sz w:val="16"/>
          <w:szCs w:val="16"/>
          <w:rFonts w:ascii="Comic Sans MS" w:hAnsi="Comic Sans MS"/>
          <w:vertAlign w:val="baseline"/>
          <w:b w:val="false"/>
          <w:i w:val="false"/>
          <w:u w:val="none"/>
          <w:strike w:val="false"/>
          <w:shadow w:val="false"/>
          <w:emboss w:val="false"/>
          <w:imprint w:val="false"/>
        </w:rPr>
        <w:t xml:space="preserve">In our vestibule (5:30 p.m. - 6:00 p.m.):  Fort Pierce Central Jazz Band (led by Jay Stewart)</w:t>
      </w:r>
    </w:p>
    <w:p>
      <w:pPr>
        <w:rPr>
          <w:sz w:val="16"/>
          <w:szCs w:val="16"/>
          <w:rFonts w:ascii="Comic Sans MS" w:hAnsi="Comic Sans MS"/>
          <w:vertAlign w:val="baseline"/>
          <w:b w:val="false"/>
          <w:i w:val="false"/>
          <w:u w:val="none"/>
          <w:strike w:val="false"/>
          <w:shadow w:val="false"/>
          <w:emboss w:val="false"/>
          <w:imprint w:val="false"/>
        </w:rPr>
        <w:jc w:val="center"/>
        <w:ind w:left="180" w:hanging="180"/>
        <w:spacing w:after="0" w:line="240" w:lineRule="auto"/>
        <w:keepNext/>
        <w:keepLines/>
      </w:pPr>
      <w:r>
        <w:rPr>
          <w:sz w:val="16"/>
          <w:szCs w:val="16"/>
          <w:rFonts w:ascii="Comic Sans MS" w:hAnsi="Comic Sans MS"/>
          <w:vertAlign w:val="baseline"/>
          <w:b w:val="false"/>
          <w:i w:val="false"/>
          <w:u w:val="none"/>
          <w:strike w:val="false"/>
          <w:shadow w:val="false"/>
          <w:emboss w:val="false"/>
          <w:imprint w:val="false"/>
        </w:rPr>
        <w:t xml:space="preserve">                     Director Tim McGinley</w:t>
      </w:r>
    </w:p>
    <w:p>
      <w:pPr>
        <w:rPr>
          <w:sz w:val="24"/>
          <w:szCs w:val="24"/>
          <w:rFonts w:ascii="Lydian" w:hAnsi="Lydian"/>
          <w:vertAlign w:val="baseline"/>
          <w:b w:val="true"/>
          <w:i w:val="false"/>
          <w:u w:val="single"/>
          <w:strike w:val="false"/>
          <w:shadow w:val="false"/>
          <w:emboss w:val="false"/>
          <w:imprint w:val="false"/>
        </w:rPr>
        <w:jc w:val="left"/>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r>
        <w:rPr>
          <w:sz w:val="24"/>
          <w:szCs w:val="24"/>
          <w:rFonts w:ascii="Lydian" w:hAnsi="Lydian"/>
          <w:vertAlign w:val="baseline"/>
          <w:b w:val="false"/>
          <w:i w:val="false"/>
          <w:u w:val="none"/>
          <w:strike w:val="false"/>
          <w:shadow w:val="false"/>
          <w:emboss w:val="false"/>
          <w:imprint w:val="false"/>
        </w:rPr>
        <w:t xml:space="preserve">          </w:t>
      </w:r>
      <w:r>
        <w:rPr>
          <w:sz w:val="16"/>
          <w:szCs w:val="16"/>
          <w:rFonts w:ascii="Comic Sans MS" w:hAnsi="Comic Sans MS"/>
          <w:vertAlign w:val="baseline"/>
          <w:b w:val="false"/>
          <w:i w:val="false"/>
          <w:u w:val="none"/>
          <w:strike w:val="false"/>
          <w:shadow w:val="false"/>
          <w:emboss w:val="false"/>
          <w:imprint w:val="false"/>
        </w:rPr>
        <w:t xml:space="preserve">Pledge:  Fort Pierce Central JROTC Color Guard</w:t>
      </w:r>
    </w:p>
    <w:p>
      <w:pPr>
        <w:rPr>
          <w:sz w:val="16"/>
          <w:szCs w:val="16"/>
          <w:rFonts w:ascii="Comic Sans MS" w:hAnsi="Comic Sans MS"/>
          <w:vertAlign w:val="baseline"/>
          <w:b w:val="false"/>
          <w:i w:val="false"/>
          <w:u w:val="none"/>
          <w:strike w:val="false"/>
          <w:shadow w:val="false"/>
          <w:emboss w:val="false"/>
          <w:imprint w:val="false"/>
        </w:rPr>
        <w:jc w:val="center"/>
        <w:ind w:left="180" w:hanging="180"/>
        <w:spacing w:after="0" w:line="240" w:lineRule="auto"/>
        <w:keepNext/>
        <w:keepLines/>
      </w:pPr>
      <w:r>
        <w:rPr>
          <w:sz w:val="16"/>
          <w:szCs w:val="16"/>
          <w:rFonts w:ascii="Comic Sans MS" w:hAnsi="Comic Sans MS"/>
          <w:vertAlign w:val="baseline"/>
          <w:b w:val="false"/>
          <w:i w:val="false"/>
          <w:u w:val="none"/>
          <w:strike w:val="false"/>
          <w:shadow w:val="false"/>
          <w:emboss w:val="false"/>
          <w:imprint w:val="false"/>
        </w:rPr>
        <w:t xml:space="preserve">Leader:  Colonel Maldonado</w:t>
      </w:r>
    </w:p>
    <w:p>
      <w:pPr>
        <w:rPr>
          <w:sz w:val="16"/>
          <w:szCs w:val="16"/>
          <w:rFonts w:ascii="Comic Sans MS" w:hAnsi="Comic Sans MS"/>
          <w:vertAlign w:val="baseline"/>
          <w:b w:val="false"/>
          <w:i w:val="false"/>
          <w:u w:val="none"/>
          <w:strike w:val="false"/>
          <w:shadow w:val="false"/>
          <w:emboss w:val="false"/>
          <w:imprint w:val="false"/>
        </w:rPr>
        <w:jc w:val="center"/>
        <w:ind w:left="180" w:hanging="180"/>
        <w:spacing w:after="0" w:line="240" w:lineRule="auto"/>
        <w:keepNext/>
        <w:keepLines/>
      </w:pPr>
      <w:r>
        <w:rPr>
          <w:sz w:val="16"/>
          <w:szCs w:val="16"/>
          <w:rFonts w:ascii="Comic Sans MS" w:hAnsi="Comic Sans MS"/>
          <w:vertAlign w:val="baseline"/>
          <w:b w:val="false"/>
          <w:i w:val="false"/>
          <w:u w:val="none"/>
          <w:strike w:val="false"/>
          <w:shadow w:val="false"/>
          <w:emboss w:val="false"/>
          <w:imprint w:val="false"/>
        </w:rPr>
        <w:t xml:space="preserve">National Anthem sung by:  Sarah Durham</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0"/>
          <w:szCs w:val="20"/>
          <w:rFonts w:ascii="Lydian" w:hAnsi="Lydian"/>
          <w:vertAlign w:val="baseline"/>
          <w:b w:val="false"/>
          <w:i w:val="false"/>
          <w:u w:val="none"/>
          <w:strike w:val="false"/>
          <w:shadow w:val="false"/>
          <w:emboss w:val="false"/>
          <w:imprint w:val="false"/>
        </w:rPr>
        <w:t xml:space="preserve">March 9, 2004 Workshop on Communications Plan </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0"/>
          <w:szCs w:val="20"/>
          <w:rFonts w:ascii="Lydian" w:hAnsi="Lydian"/>
          <w:vertAlign w:val="baseline"/>
          <w:b w:val="false"/>
          <w:i w:val="false"/>
          <w:u w:val="none"/>
          <w:strike w:val="false"/>
          <w:shadow w:val="false"/>
          <w:emboss w:val="false"/>
          <w:imprint w:val="false"/>
        </w:rPr>
        <w:t xml:space="preserve">March 9, 2004 Regular Meeting</w:t>
      </w:r>
    </w:p>
    <w:p>
      <w:pPr>
        <w:rPr>
          <w:sz w:val="24"/>
          <w:szCs w:val="24"/>
          <w:rFonts w:ascii="Lydian" w:hAnsi="Lydian"/>
          <w:vertAlign w:val="baseline"/>
          <w:b w:val="false"/>
          <w:i w:val="false"/>
          <w:u w:val="none"/>
          <w:strike w:val="false"/>
          <w:shadow w:val="false"/>
          <w:emboss w:val="false"/>
          <w:imprint w:val="false"/>
        </w:rPr>
        <w:jc w:val="both"/>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 </w:t>
      </w:r>
      <w:r>
        <w:rPr>
          <w:sz w:val="24"/>
          <w:szCs w:val="24"/>
          <w:rFonts w:ascii="Lydian" w:hAnsi="Lydian"/>
          <w:vertAlign w:val="baseline"/>
          <w:b w:val="true"/>
          <w:i w:val="false"/>
          <w:u w:val="single"/>
          <w:strike w:val="false"/>
          <w:shadow w:val="false"/>
          <w:emboss w:val="false"/>
          <w:imprint w:val="false"/>
        </w:rPr>
        <w:t xml:space="preserve">SPECIAL ORDERS OF BUSINESS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1. Educational Lamp Award</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2. Clean Campus Award</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3. Commissioner’s Academic Challenge Team for 2004:  The A-Team</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Deleted</w:t>
      </w:r>
      <w:r>
        <w:rPr>
          <w:sz w:val="22"/>
          <w:szCs w:val="22"/>
          <w:rFonts w:ascii="Lydian" w:hAnsi="Lydian"/>
          <w:vertAlign w:val="baseline"/>
          <w:b w:val="false"/>
          <w:i w:val="false"/>
          <w:u w:val="none"/>
          <w:strike w:val="false"/>
          <w:shadow w:val="false"/>
          <w:emboss w:val="false"/>
          <w:imprint w:val="false"/>
        </w:rPr>
        <w:t xml:space="preserve"> 4. </w:t>
      </w:r>
      <w:r>
        <w:rPr>
          <w:sz w:val="16"/>
          <w:szCs w:val="16"/>
          <w:rFonts w:ascii="Lydian" w:hAnsi="Lydian"/>
          <w:vertAlign w:val="baseline"/>
          <w:b w:val="false"/>
          <w:i w:val="false"/>
          <w:u w:val="none"/>
          <w:strike w:val="false"/>
          <w:shadow w:val="false"/>
          <w:emboss w:val="false"/>
          <w:imprint w:val="false"/>
        </w:rPr>
        <w:t xml:space="preserve">SLC Education Foundation Recognition of Winners of The Good Shepherd Group:  The World of Animal Welfare, Conservation, and</w:t>
      </w:r>
    </w:p>
    <w:p>
      <w:pPr>
        <w:rPr>
          <w:sz w:val="16"/>
          <w:szCs w:val="16"/>
          <w:rFonts w:ascii="Lydian" w:hAnsi="Lydian"/>
          <w:vertAlign w:val="baseline"/>
          <w:b w:val="false"/>
          <w:i w:val="false"/>
          <w:u w:val="none"/>
          <w:strike w:val="false"/>
          <w:shadow w:val="false"/>
          <w:emboss w:val="false"/>
          <w:imprint w:val="false"/>
        </w:rPr>
        <w:jc w:val="both"/>
        <w:spacing w:after="0" w:line="240" w:lineRule="auto"/>
        <w:keepLines/>
      </w:pPr>
      <w:r>
        <w:rPr>
          <w:sz w:val="16"/>
          <w:szCs w:val="16"/>
          <w:rFonts w:ascii="Lydian" w:hAnsi="Lydian"/>
          <w:vertAlign w:val="baseline"/>
          <w:b w:val="false"/>
          <w:i w:val="false"/>
          <w:u w:val="none"/>
          <w:strike w:val="false"/>
          <w:shadow w:val="false"/>
          <w:emboss w:val="false"/>
          <w:imprint w:val="false"/>
        </w:rPr>
        <w:t xml:space="preserve">		       Rights Grants (</w:t>
      </w:r>
      <w:r>
        <w:rPr>
          <w:sz w:val="18"/>
          <w:szCs w:val="18"/>
          <w:rFonts w:ascii="Lydian" w:hAnsi="Lydian"/>
          <w:vertAlign w:val="baseline"/>
          <w:b w:val="true"/>
          <w:i w:val="true"/>
          <w:u w:val="single"/>
          <w:strike w:val="false"/>
          <w:shadow w:val="false"/>
          <w:emboss w:val="false"/>
          <w:imprint w:val="false"/>
        </w:rPr>
        <w:t xml:space="preserve">Delete)</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5. Scholar Athlete of the Month</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6. A. E. “Bean” Backus Gallery &amp; Museum 16th Annual Art Festival Winners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7. The Able Trust 2004 Youth Leadership Forum Delegates </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8. School Library Media Month Proclamation - April 2004</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9. Fort Pierce Westwood High Donation (Total Value $300)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No report.</w:t>
      </w:r>
      <w:r>
        <w:rPr>
          <w:sz w:val="22"/>
          <w:szCs w:val="22"/>
          <w:rFonts w:ascii="Lydian" w:hAnsi="Lydian"/>
          <w:vertAlign w:val="baseline"/>
          <w:b w:val="false"/>
          <w:i w:val="false"/>
          <w:u w:val="none"/>
          <w:strike w:val="false"/>
          <w:shadow w:val="false"/>
          <w:emboss w:val="false"/>
          <w:imprint w:val="false"/>
        </w:rPr>
        <w:t xml:space="preserve">10. Curriculum Report - No report</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Received Update </w:t>
      </w:r>
      <w:r>
        <w:rPr>
          <w:sz w:val="22"/>
          <w:szCs w:val="22"/>
          <w:rFonts w:ascii="Lydian" w:hAnsi="Lydian"/>
          <w:vertAlign w:val="baseline"/>
          <w:b w:val="false"/>
          <w:i w:val="false"/>
          <w:u w:val="none"/>
          <w:strike w:val="false"/>
          <w:shadow w:val="false"/>
          <w:emboss w:val="false"/>
          <w:imprint w:val="false"/>
        </w:rPr>
        <w:t xml:space="preserve">11. Superintendent’s Report (</w:t>
      </w:r>
      <w:r>
        <w:rPr>
          <w:sz w:val="16"/>
          <w:szCs w:val="16"/>
          <w:rFonts w:ascii="Lucida Handwriting" w:hAnsi="Lucida Handwriting"/>
          <w:vertAlign w:val="baseline"/>
          <w:b w:val="false"/>
          <w:i w:val="false"/>
          <w:u w:val="none"/>
          <w:strike w:val="false"/>
          <w:shadow w:val="false"/>
          <w:emboss w:val="false"/>
          <w:imprint w:val="false"/>
        </w:rPr>
        <w:t xml:space="preserve">received admin. organizational chart,</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                                 job descriptions, and salary schedule for review to be brought back</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                                 for vote at 04-27-04 regular meeting)</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12. Personnel Agenda &amp; Leaves - (DOAH Request)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13. District Audit Report for Fiscal Year 2002-2003</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14. Internal Accounts Audit Reports for Fiscal Year 2002-2003</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15. Property Disposition List for Fiscal Year 2002-2003</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16. Capital Projects Budget Amendment #8</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17. Classrooms For Kids Certification - Amend Project List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18. Certificate of Participation Series 2004-A</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19. RFP for Concrete Relocatable Modular Buildings at Port St. Lucie Elementary School</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20. RFP for Concrete Relocatable Modular Buildings at Lawnwood Elementary School</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21. Bid #0404013 Cafeteria Renovations at Port St. Lucie High School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22. Bid #0404014 Renovation of HVAC @ Floresta Elementary School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23. Learn and Serve America Grant (Desserts on Wheels) - at Forest Grove Middle School</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24. Sprint “Interim Arrangement” Letter ITFS Channel Lease Agreement (expired)</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25. Letter of Engagement for Dow, Lohnes &amp; Albertson, PLLC</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26. St. Lucie West Centennial College and Career Success Initiative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27. </w:t>
      </w:r>
      <w:r>
        <w:rPr>
          <w:sz w:val="20"/>
          <w:szCs w:val="20"/>
          <w:rFonts w:ascii="Lydian" w:hAnsi="Lydian"/>
          <w:vertAlign w:val="baseline"/>
          <w:b w:val="false"/>
          <w:i w:val="false"/>
          <w:u w:val="none"/>
          <w:strike w:val="false"/>
          <w:shadow w:val="false"/>
          <w:emboss w:val="false"/>
          <w:imprint w:val="false"/>
        </w:rPr>
        <w:t xml:space="preserve">Transportation Services Agreement with Boys’ &amp; Girls’ Club of St. Lucie County, City of Port St. Lucie,</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St. Andrews Episcopal School, and St. Lucie County Parks &amp; Recreation for Summer Programs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28. Elementary Reading Coach Grant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29. Middle School Reading Coach Grant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30. High School Reading Coach Grant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31. </w:t>
      </w:r>
      <w:r>
        <w:rPr>
          <w:sz w:val="20"/>
          <w:szCs w:val="20"/>
          <w:rFonts w:ascii="Lydian" w:hAnsi="Lydian"/>
          <w:vertAlign w:val="baseline"/>
          <w:b w:val="false"/>
          <w:i w:val="false"/>
          <w:u w:val="none"/>
          <w:strike w:val="false"/>
          <w:shadow w:val="false"/>
          <w:emboss w:val="false"/>
          <w:imprint w:val="false"/>
        </w:rPr>
        <w:t xml:space="preserve">Approval of Consultants Competitive Negotiation Act (CCNA) Ranking for Construction Management</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Services for Projects Not to Exceed One Million Dollars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32. </w:t>
      </w:r>
      <w:r>
        <w:rPr>
          <w:sz w:val="20"/>
          <w:szCs w:val="20"/>
          <w:rFonts w:ascii="Lydian" w:hAnsi="Lydian"/>
          <w:vertAlign w:val="baseline"/>
          <w:b w:val="false"/>
          <w:i w:val="false"/>
          <w:u w:val="none"/>
          <w:strike w:val="false"/>
          <w:shadow w:val="false"/>
          <w:emboss w:val="false"/>
          <w:imprint w:val="false"/>
        </w:rPr>
        <w:t xml:space="preserve">Approval of Consultants Competitive Negotiation Act (CCNA) Ranking for Construction Management Services for </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the New High School “AAA”</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33. </w:t>
      </w:r>
      <w:r>
        <w:rPr>
          <w:sz w:val="22"/>
          <w:szCs w:val="22"/>
          <w:rFonts w:ascii="Lydian" w:hAnsi="Lydian"/>
          <w:vertAlign w:val="baseline"/>
          <w:b w:val="true"/>
          <w:i w:val="true"/>
          <w:u w:val="single"/>
          <w:strike w:val="false"/>
          <w:shadow w:val="false"/>
          <w:emboss w:val="false"/>
          <w:imprint w:val="false"/>
        </w:rPr>
        <w:t xml:space="preserve">Work Authorization</w:t>
      </w:r>
      <w:r>
        <w:rPr>
          <w:sz w:val="22"/>
          <w:szCs w:val="22"/>
          <w:rFonts w:ascii="Lydian" w:hAnsi="Lydian"/>
          <w:vertAlign w:val="baseline"/>
          <w:b w:val="false"/>
          <w:i w:val="false"/>
          <w:u w:val="none"/>
          <w:strike w:val="false"/>
          <w:shadow w:val="false"/>
          <w:emboss w:val="false"/>
          <w:imprint w:val="false"/>
        </w:rPr>
        <w:t xml:space="preserve"> </w:t>
      </w:r>
      <w:r>
        <w:rPr>
          <w:sz w:val="22"/>
          <w:szCs w:val="22"/>
          <w:rFonts w:ascii="Lydian" w:hAnsi="Lydian"/>
          <w:vertAlign w:val="baseline"/>
          <w:b w:val="false"/>
          <w:i w:val="false"/>
          <w:u w:val="none"/>
          <w:strike w:val="true"/>
          <w:shadow w:val="false"/>
          <w:emboss w:val="false"/>
          <w:imprint w:val="false"/>
        </w:rPr>
        <w:t xml:space="preserve">Contract</w:t>
      </w:r>
      <w:r>
        <w:rPr>
          <w:sz w:val="22"/>
          <w:szCs w:val="22"/>
          <w:rFonts w:ascii="Lydian" w:hAnsi="Lydian"/>
          <w:vertAlign w:val="baseline"/>
          <w:b w:val="false"/>
          <w:i w:val="false"/>
          <w:u w:val="none"/>
          <w:strike w:val="false"/>
          <w:shadow w:val="false"/>
          <w:emboss w:val="false"/>
          <w:imprint w:val="false"/>
        </w:rPr>
        <w:t xml:space="preserve"> </w:t>
      </w:r>
      <w:r>
        <w:rPr>
          <w:sz w:val="18"/>
          <w:szCs w:val="18"/>
          <w:rFonts w:ascii="Lydian" w:hAnsi="Lydian"/>
          <w:vertAlign w:val="baseline"/>
          <w:b w:val="false"/>
          <w:i w:val="false"/>
          <w:u w:val="none"/>
          <w:strike w:val="false"/>
          <w:shadow w:val="false"/>
          <w:emboss w:val="false"/>
          <w:imprint w:val="false"/>
        </w:rPr>
        <w:t xml:space="preserve">with Florida Architects, Inc., for the Design and Renovations of Auditorium</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			 Seating at Port St. Lucie High</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true"/>
          <w:i w:val="true"/>
          <w:u w:val="single"/>
          <w:strike w:val="false"/>
          <w:shadow w:val="false"/>
          <w:emboss w:val="false"/>
          <w:imprint w:val="false"/>
        </w:rPr>
        <w:t xml:space="preserve">Addendum 48</w:t>
      </w:r>
      <w:r>
        <w:rPr>
          <w:sz w:val="22"/>
          <w:szCs w:val="22"/>
          <w:rFonts w:ascii="Lydian" w:hAnsi="Lydian"/>
          <w:vertAlign w:val="baseline"/>
          <w:b w:val="false"/>
          <w:i w:val="false"/>
          <w:u w:val="none"/>
          <w:strike w:val="false"/>
          <w:shadow w:val="false"/>
          <w:emboss w:val="false"/>
          <w:imprint w:val="false"/>
        </w:rPr>
        <w:t xml:space="preserve">. </w:t>
      </w:r>
      <w:r>
        <w:rPr>
          <w:sz w:val="18"/>
          <w:szCs w:val="18"/>
          <w:rFonts w:ascii="Lydian" w:hAnsi="Lydian"/>
          <w:vertAlign w:val="baseline"/>
          <w:b w:val="false"/>
          <w:i w:val="false"/>
          <w:u w:val="none"/>
          <w:strike w:val="false"/>
          <w:shadow w:val="false"/>
          <w:emboss w:val="false"/>
          <w:imprint w:val="false"/>
        </w:rPr>
        <w:t xml:space="preserve">Contract with Greenhorn &amp; O’Mara, Inc. for Professional Engineering Services to Prepare Final </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			Report for 20-Year Master Plan</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true"/>
          <w:i w:val="true"/>
          <w:u w:val="single"/>
          <w:strike w:val="false"/>
          <w:shadow w:val="false"/>
          <w:emboss w:val="false"/>
          <w:imprint w:val="false"/>
        </w:rPr>
        <w:t xml:space="preserve">Addendum 49. </w:t>
      </w:r>
      <w:r>
        <w:rPr>
          <w:sz w:val="16"/>
          <w:szCs w:val="16"/>
          <w:rFonts w:ascii="Lydian" w:hAnsi="Lydian"/>
          <w:vertAlign w:val="baseline"/>
          <w:b w:val="false"/>
          <w:i w:val="false"/>
          <w:u w:val="none"/>
          <w:strike w:val="false"/>
          <w:shadow w:val="false"/>
          <w:emboss w:val="false"/>
          <w:imprint w:val="false"/>
        </w:rPr>
        <w:t xml:space="preserve">Proposal with Dunkelberger Engineering &amp; Testing, Inc., for Geotechnical Engineering Svcs. for New K-8 </w:t>
      </w:r>
    </w:p>
    <w:p>
      <w:pPr>
        <w:rPr>
          <w:sz w:val="16"/>
          <w:szCs w:val="16"/>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ydian" w:hAnsi="Lydian"/>
          <w:vertAlign w:val="baseline"/>
          <w:b w:val="false"/>
          <w:i w:val="false"/>
          <w:u w:val="none"/>
          <w:strike w:val="false"/>
          <w:shadow w:val="false"/>
          <w:emboss w:val="false"/>
          <w:imprint w:val="false"/>
        </w:rPr>
        <w:t xml:space="preserve">			Elementary/Middle School BB-A</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UNSCHEDULED SPEAKER REQUEST TO ADDRESS ITEM #12 Personnel Agenda &amp; Leaves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Rev. Harry Shaw asked to address a personnel matter regarding Joan Evans.</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ST. LUCIE SCHOOL BOARD LEASING CORPORATION BOARD OF DIRECTORS SPECIAL MEETING</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The School Board of St. Lucie County recessed the regular public meeting at 7:15 p.m. and held a special meeting of the St. Lucie School Board Leasing Corporation Board of Directors to consider approval of a Resolution authorizing the issuance of Series 2004A Certificates of Participation (“COPs”), said resolution having first been approved by the School Board, under consent agenda.  At the conclusion of the leasing corporation’s special meeting, the Chairman re-opened the School Board regular public meeting at 7:18 p.m.</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a resolution authorizing the issuance of Series 2004A Certificates of Participation.</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OTHER BUSINESS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34. Stipulated Findings of Fact, Conclusions of Law and Penalty, and Final Order #451/JP/03-26-91/0072/03-04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35. Stipulated Findings of Fact, Conclusions of Law and Penalty, and Final Order #452/JO/08-26-92/0072/03-04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36. Stipulated Findings of Fact, Conclusions of Law and Penalty, and Final Order #453/JC/01-18-90/0331/03-04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37. Stipulated Findings of Fact, Conclusions of Law and Penalty, and Final Order #454/SH/09-22-90/0331/03-04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38. Stipulated Findings of Fact, Conclusions of Law and Penalty, and Final Order #455/TL/08-13-90/0371/03-04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39. Stipulated Findings of Fact, Conclusions of Law and Penalty, and Final Order #456/OW/05-09-91/0131/03-04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40. Stipulated Findings of Fact, Conclusions of Law and Penalty, and Final Order #457/TB/05-28-88/0201/03-04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41. Stipulated Findings of Fact, Conclusions of Law and Penalty, and Final Order #458/MC/12-15-87/0401/03-04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42. Stipulated Findings of Fact, Conclusions of Law and Penalty, and Final Order #459/JR/03-19-90/0391/03-04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43. Stipulated Findings of Fact, Conclusions of Law and Penalty, and Final Order #460/RM/02-23-87/0161/03-04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44. Stipulated Findings of Fact, Conclusions of Law and Penalty, and Final Order #461/NM/09-07-88/0161/03-04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45. Stipulated Findings of Fact, Conclusions of Law and Penalty, and Final Order #462/DC/11-20-88/0301/03-04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46. Stipulated Findings of Fact, Conclusions of Law and Penalty, and Final Order #463/JR/04-13-89/0371/03-04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47. Stipulated Findings of Fact, Conclusions of Law and Penalty, and Final Order #464/JC/04-09-88/0401/03-04</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FINANCE/BUDGET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Received information on the issuance, borrowing and repayment of  QZABs--a$400,000 savings.</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FACILITIES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Reviewed updated project list; strategies for school site acquisition; </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ATTORNEY’S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CTA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President Clara Cook informed the Board that the salary portion of the collaborative bargaining process would be presented to members for ratification within the next two days.  Ms. Cook had heard comments from members that they were very pleased and looked forward to a likeable contract--everything was going really well.</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CWA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SCHOOL BOARD MEMBERS’ REPORTS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Comments received about the business partners breakfast at Fort Pierce Central and the tall ship Unicorn experience  that promoted team effort among civic leaders.</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UNSCHEDULED SPEAKERS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There were no further requests received from unscheduled speakers.</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ADJOURNMENT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9:10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b0059aa616474f35" Type="http://schemas.openxmlformats.org/officeDocument/2006/relationships/numbering" Target="/word/numbering.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69E0AB188BC49A3BB424194501D32" ma:contentTypeVersion="4" ma:contentTypeDescription="Create a new document." ma:contentTypeScope="" ma:versionID="f945083f0c3fa67c702a20779dababa4">
  <xsd:schema xmlns:xsd="http://www.w3.org/2001/XMLSchema" xmlns:xs="http://www.w3.org/2001/XMLSchema" xmlns:p="http://schemas.microsoft.com/office/2006/metadata/properties" xmlns:ns2="bb8ff199-b3a7-47eb-a6fc-0f6b5be9fe5c" targetNamespace="http://schemas.microsoft.com/office/2006/metadata/properties" ma:root="true" ma:fieldsID="fd83890842ff4bdbedcfd0d3a0bf1cc7" ns2:_="">
    <xsd:import namespace="bb8ff199-b3a7-47eb-a6fc-0f6b5be9fe5c"/>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4"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VSMNMP6JFE62-396-158</_dlc_DocId>
    <_dlc_DocIdUrl xmlns="bb8ff199-b3a7-47eb-a6fc-0f6b5be9fe5c">
      <Url>http://share/district/_layouts/DocIdRedir.aspx?ID=VSMNMP6JFE62-396-158</Url>
      <Description>VSMNMP6JFE62-396-158</Description>
    </_dlc_DocIdUrl>
    <SelectYear xmlns="bb8ff199-b3a7-47eb-a6fc-0f6b5be9fe5c">2004</SelectYear>
    <SelectMonth xmlns="bb8ff199-b3a7-47eb-a6fc-0f6b5be9fe5c">04-April</SelectMonth>
  </documentManagement>
</p:properties>
</file>

<file path=customXml/itemProps1.xml><?xml version="1.0" encoding="utf-8"?>
<ds:datastoreItem xmlns:ds="http://schemas.openxmlformats.org/officeDocument/2006/customXml" ds:itemID="{3B39B13A-A065-475D-A32E-02F8876CFF98}"/>
</file>

<file path=customXml/itemProps2.xml><?xml version="1.0" encoding="utf-8"?>
<ds:datastoreItem xmlns:ds="http://schemas.openxmlformats.org/officeDocument/2006/customXml" ds:itemID="{A6342A0E-B0D9-45B2-8740-0003F0225847}"/>
</file>

<file path=customXml/itemProps3.xml><?xml version="1.0" encoding="utf-8"?>
<ds:datastoreItem xmlns:ds="http://schemas.openxmlformats.org/officeDocument/2006/customXml" ds:itemID="{6B6B3C80-2EA4-43A4-A6B6-F25B2DB9C23F}"/>
</file>

<file path=customXml/itemProps4.xml><?xml version="1.0" encoding="utf-8"?>
<ds:datastoreItem xmlns:ds="http://schemas.openxmlformats.org/officeDocument/2006/customXml" ds:itemID="{42292611-4266-4F93-9FEB-237563BD19F9}"/>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04-13-04 SLCSB Regular Meeting Agenda - Finalized</dc:title>
  <dc:creator>CN=chris harrison/O=stlucie</dc:creator>
  <cp:lastModifiedBy/>
  <cp:revision>1</cp:revision>
  <dcterms:created xsi:type="dcterms:W3CDTF">2004-05-03T18:53:00Z</dcterms:created>
  <dcterms:modified xsi:type="dcterms:W3CDTF">2004-05-03T18:53:46Z</dcterms:modified>
  <cp:category>Agenda</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fd4e1f9a709ad7c885256e890051c1b6</vt:lpwstr>
  </property>
  <property fmtid="{D5CDD505-2E9C-101B-9397-08002B2CF9AE}" pid="4" name="NMSP NotesUrl">
    <vt:lpwstr>notes:///85256d470058b999/0/fd4e1f9a709ad7c885256e890051c1b6</vt:lpwstr>
  </property>
  <property fmtid="{D5CDD505-2E9C-101B-9397-08002B2CF9AE}" pid="5" name="ContentTypeId">
    <vt:lpwstr>0x0101000CB69E0AB188BC49A3BB424194501D32</vt:lpwstr>
  </property>
  <property fmtid="{D5CDD505-2E9C-101B-9397-08002B2CF9AE}" pid="6" name="_dlc_DocIdItemGuid">
    <vt:lpwstr>cd8b7c6e-04fe-4f6a-beb9-11b952ed1739</vt:lpwstr>
  </property>
</Properties>
</file>