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696DEDA1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Nardone Bros. Baking Company, Inc.</w:t>
      </w:r>
    </w:p>
    <w:p w14:paraId="4A0DAB05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420 New Commerce Blvd</w:t>
      </w:r>
    </w:p>
    <w:p w14:paraId="3D8EC0D9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Hanover Township, PA 18706</w:t>
      </w:r>
    </w:p>
    <w:p w14:paraId="49CA23FA" w14:textId="48508589" w:rsidR="00D94D00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Attn:Vincent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Nardone</w:t>
      </w:r>
    </w:p>
    <w:p w14:paraId="1374D1EA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7C791D0B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16496595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562E2C">
        <w:rPr>
          <w:rFonts w:ascii="Calibri" w:hAnsi="Calibri" w:cs="Calibri"/>
          <w:color w:val="000000"/>
        </w:rPr>
        <w:t>. Nardone,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06A8E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62E2C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94D00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https://stluciepublicschools.sharepoint.com/sites/Purchasing/_layouts/15/DocIdRedir.aspx?ID=Q4FQ2X6QSMJA-1780849974-2163</Url>
      <Description>Q4FQ2X6QSMJA-1780849974-2163</Description>
    </_dlc_DocIdUrl>
    <_dlc_DocId xmlns="b2034ede-32a1-4d1c-ac1e-5c3b753ed439">Q4FQ2X6QSMJA-1780849974-2163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8AFDCB-3D89-461F-928B-820234AD784F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5437B277-9474-4596-BB30-59F94F5A463E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276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2023-06-20T19:48:00Z</dcterms:created>
  <dcterms:modified xsi:type="dcterms:W3CDTF">2023-06-20T19:48:00Z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15c41f4c-3f1d-4ae4-b032-3e61f6199e5a</vt:lpwstr>
  </property>
  <property fmtid="{D5CDD505-2E9C-101B-9397-08002B2CF9AE}" pid="4" name="MediaServiceImageTags">
    <vt:lpwstr/>
  </property>
</Properties>
</file>